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0490" w14:textId="69F4429E" w:rsidR="00B26450" w:rsidRDefault="00B26450" w:rsidP="0005622C">
      <w:pPr>
        <w:widowControl/>
        <w:shd w:val="clear" w:color="auto" w:fill="FFFFFF"/>
        <w:jc w:val="left"/>
        <w:rPr>
          <w:rFonts w:ascii="ＭＳ Ｐゴシック" w:eastAsia="ＭＳ Ｐゴシック" w:hAnsi="ＭＳ Ｐゴシック" w:cs="ＭＳ Ｐゴシック"/>
          <w:b/>
          <w:bCs/>
          <w:color w:val="006633"/>
          <w:kern w:val="0"/>
          <w:sz w:val="28"/>
          <w:szCs w:val="28"/>
        </w:rPr>
      </w:pPr>
      <w:r>
        <w:rPr>
          <w:noProof/>
        </w:rPr>
        <w:drawing>
          <wp:inline distT="0" distB="0" distL="0" distR="0" wp14:anchorId="5AACA953" wp14:editId="2CE8ADA5">
            <wp:extent cx="3809365" cy="3209290"/>
            <wp:effectExtent l="0" t="0" r="0" b="0"/>
            <wp:docPr id="1" name="図 1" descr="鶴と亀のイラスト「縁起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鶴と亀のイラスト「縁起物」"/>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9365" cy="3209290"/>
                    </a:xfrm>
                    <a:prstGeom prst="rect">
                      <a:avLst/>
                    </a:prstGeom>
                    <a:noFill/>
                    <a:ln>
                      <a:noFill/>
                    </a:ln>
                  </pic:spPr>
                </pic:pic>
              </a:graphicData>
            </a:graphic>
          </wp:inline>
        </w:drawing>
      </w:r>
    </w:p>
    <w:p w14:paraId="7B14E5FB" w14:textId="77777777" w:rsidR="00B26450" w:rsidRDefault="00B26450" w:rsidP="0005622C">
      <w:pPr>
        <w:widowControl/>
        <w:shd w:val="clear" w:color="auto" w:fill="FFFFFF"/>
        <w:jc w:val="left"/>
        <w:rPr>
          <w:rFonts w:ascii="ＭＳ Ｐゴシック" w:eastAsia="ＭＳ Ｐゴシック" w:hAnsi="ＭＳ Ｐゴシック" w:cs="ＭＳ Ｐゴシック"/>
          <w:b/>
          <w:bCs/>
          <w:color w:val="006633"/>
          <w:kern w:val="0"/>
          <w:sz w:val="28"/>
          <w:szCs w:val="28"/>
        </w:rPr>
      </w:pPr>
    </w:p>
    <w:p w14:paraId="678568E8" w14:textId="77777777" w:rsidR="00B26450" w:rsidRDefault="00B26450" w:rsidP="0005622C">
      <w:pPr>
        <w:widowControl/>
        <w:shd w:val="clear" w:color="auto" w:fill="FFFFFF"/>
        <w:jc w:val="left"/>
        <w:rPr>
          <w:rFonts w:ascii="ＭＳ Ｐゴシック" w:eastAsia="ＭＳ Ｐゴシック" w:hAnsi="ＭＳ Ｐゴシック" w:cs="ＭＳ Ｐゴシック"/>
          <w:b/>
          <w:bCs/>
          <w:color w:val="006633"/>
          <w:kern w:val="0"/>
          <w:sz w:val="28"/>
          <w:szCs w:val="28"/>
        </w:rPr>
      </w:pPr>
    </w:p>
    <w:p w14:paraId="6AA34192" w14:textId="77777777" w:rsidR="00B26450" w:rsidRDefault="00B26450" w:rsidP="0005622C">
      <w:pPr>
        <w:widowControl/>
        <w:shd w:val="clear" w:color="auto" w:fill="FFFFFF"/>
        <w:jc w:val="left"/>
        <w:rPr>
          <w:rFonts w:ascii="ＭＳ Ｐゴシック" w:eastAsia="ＭＳ Ｐゴシック" w:hAnsi="ＭＳ Ｐゴシック" w:cs="ＭＳ Ｐゴシック"/>
          <w:b/>
          <w:bCs/>
          <w:color w:val="006633"/>
          <w:kern w:val="0"/>
          <w:sz w:val="28"/>
          <w:szCs w:val="28"/>
        </w:rPr>
      </w:pPr>
    </w:p>
    <w:p w14:paraId="21836F13" w14:textId="04166813" w:rsidR="0005622C" w:rsidRPr="0005622C" w:rsidRDefault="0005622C" w:rsidP="0005622C">
      <w:pPr>
        <w:widowControl/>
        <w:shd w:val="clear" w:color="auto" w:fill="FFFFFF"/>
        <w:jc w:val="left"/>
        <w:rPr>
          <w:rFonts w:ascii="ＭＳ Ｐゴシック" w:eastAsia="ＭＳ Ｐゴシック" w:hAnsi="ＭＳ Ｐゴシック" w:cs="ＭＳ Ｐゴシック"/>
          <w:color w:val="555555"/>
          <w:kern w:val="0"/>
          <w:sz w:val="28"/>
          <w:szCs w:val="28"/>
        </w:rPr>
      </w:pPr>
      <w:r w:rsidRPr="0005622C">
        <w:rPr>
          <w:rFonts w:ascii="ＭＳ Ｐゴシック" w:eastAsia="ＭＳ Ｐゴシック" w:hAnsi="ＭＳ Ｐゴシック" w:cs="ＭＳ Ｐゴシック" w:hint="eastAsia"/>
          <w:b/>
          <w:bCs/>
          <w:color w:val="006633"/>
          <w:kern w:val="0"/>
          <w:sz w:val="28"/>
          <w:szCs w:val="28"/>
        </w:rPr>
        <w:t>●算数</w:t>
      </w:r>
    </w:p>
    <w:p w14:paraId="4A48F794" w14:textId="77777777" w:rsidR="0005622C" w:rsidRPr="0005622C" w:rsidRDefault="0005622C" w:rsidP="0005622C">
      <w:pPr>
        <w:widowControl/>
        <w:shd w:val="clear" w:color="auto" w:fill="FFFFFF"/>
        <w:spacing w:after="150" w:line="391" w:lineRule="atLeast"/>
        <w:jc w:val="left"/>
        <w:rPr>
          <w:rFonts w:ascii="ＭＳ Ｐゴシック" w:eastAsia="ＭＳ Ｐゴシック" w:hAnsi="ＭＳ Ｐゴシック" w:cs="ＭＳ Ｐゴシック"/>
          <w:color w:val="555555"/>
          <w:kern w:val="0"/>
          <w:sz w:val="28"/>
          <w:szCs w:val="28"/>
        </w:rPr>
      </w:pPr>
      <w:r w:rsidRPr="0005622C">
        <w:rPr>
          <w:rFonts w:ascii="ＭＳ Ｐゴシック" w:eastAsia="ＭＳ Ｐゴシック" w:hAnsi="ＭＳ Ｐゴシック" w:cs="ＭＳ Ｐゴシック" w:hint="eastAsia"/>
          <w:color w:val="555555"/>
          <w:kern w:val="0"/>
          <w:sz w:val="28"/>
          <w:szCs w:val="28"/>
        </w:rPr>
        <w:t>奇をてらった問題、特別な知識を必要とする問題は出題しません。しかし、表面的にはありきたりに見えるが、問題をよく読むと解き方に工夫を要する問題を多く出題しています。</w:t>
      </w:r>
      <w:r w:rsidRPr="0005622C">
        <w:rPr>
          <w:rFonts w:ascii="ＭＳ Ｐゴシック" w:eastAsia="ＭＳ Ｐゴシック" w:hAnsi="ＭＳ Ｐゴシック" w:cs="ＭＳ Ｐゴシック" w:hint="eastAsia"/>
          <w:color w:val="555555"/>
          <w:kern w:val="0"/>
          <w:sz w:val="28"/>
          <w:szCs w:val="28"/>
        </w:rPr>
        <w:br/>
        <w:t>その理由は、算数の力とは、数・図形に関する基礎的な知識を習得した上で、その知識を活用する力だと考えているからです。いくつかの条件から問題を解く条件を見つけ出す力、複数の条件を組み合わせて問題を解</w:t>
      </w:r>
      <w:r w:rsidRPr="0005622C">
        <w:rPr>
          <w:rFonts w:ascii="ＭＳ Ｐゴシック" w:eastAsia="ＭＳ Ｐゴシック" w:hAnsi="ＭＳ Ｐゴシック" w:cs="ＭＳ Ｐゴシック" w:hint="eastAsia"/>
          <w:color w:val="555555"/>
          <w:kern w:val="0"/>
          <w:sz w:val="28"/>
          <w:szCs w:val="28"/>
        </w:rPr>
        <w:lastRenderedPageBreak/>
        <w:t>く力、さらに条件を探し出す力が問われます。上のような算数の力をつけるために、普段学ぶときに心がけてほしいことをいくつかあげます。</w:t>
      </w:r>
    </w:p>
    <w:tbl>
      <w:tblPr>
        <w:tblW w:w="10209" w:type="dxa"/>
        <w:tblCellSpacing w:w="0" w:type="dxa"/>
        <w:shd w:val="clear" w:color="auto" w:fill="FFFFFF"/>
        <w:tblCellMar>
          <w:left w:w="0" w:type="dxa"/>
          <w:right w:w="0" w:type="dxa"/>
        </w:tblCellMar>
        <w:tblLook w:val="04A0" w:firstRow="1" w:lastRow="0" w:firstColumn="1" w:lastColumn="0" w:noHBand="0" w:noVBand="1"/>
      </w:tblPr>
      <w:tblGrid>
        <w:gridCol w:w="325"/>
        <w:gridCol w:w="9884"/>
      </w:tblGrid>
      <w:tr w:rsidR="0005622C" w:rsidRPr="0005622C" w14:paraId="0A5991FE" w14:textId="77777777" w:rsidTr="0005622C">
        <w:trPr>
          <w:trHeight w:val="386"/>
          <w:tblCellSpacing w:w="0" w:type="dxa"/>
        </w:trPr>
        <w:tc>
          <w:tcPr>
            <w:tcW w:w="325" w:type="dxa"/>
            <w:shd w:val="clear" w:color="auto" w:fill="FFFFFF"/>
            <w:tcMar>
              <w:top w:w="45" w:type="dxa"/>
              <w:left w:w="0" w:type="dxa"/>
              <w:bottom w:w="45" w:type="dxa"/>
              <w:right w:w="0" w:type="dxa"/>
            </w:tcMar>
            <w:hideMark/>
          </w:tcPr>
          <w:p w14:paraId="6C4ED423" w14:textId="77777777" w:rsidR="0005622C" w:rsidRPr="0005622C" w:rsidRDefault="0005622C" w:rsidP="0005622C">
            <w:pPr>
              <w:widowControl/>
              <w:jc w:val="center"/>
              <w:rPr>
                <w:rFonts w:ascii="ＭＳ Ｐゴシック" w:eastAsia="ＭＳ Ｐゴシック" w:hAnsi="ＭＳ Ｐゴシック" w:cs="ＭＳ Ｐゴシック"/>
                <w:color w:val="990000"/>
                <w:kern w:val="0"/>
                <w:sz w:val="28"/>
                <w:szCs w:val="28"/>
              </w:rPr>
            </w:pPr>
            <w:r w:rsidRPr="0005622C">
              <w:rPr>
                <w:rFonts w:ascii="ＭＳ Ｐゴシック" w:eastAsia="ＭＳ Ｐゴシック" w:hAnsi="ＭＳ Ｐゴシック" w:cs="ＭＳ Ｐゴシック" w:hint="eastAsia"/>
                <w:color w:val="990000"/>
                <w:kern w:val="0"/>
                <w:sz w:val="28"/>
                <w:szCs w:val="28"/>
              </w:rPr>
              <w:t>・</w:t>
            </w:r>
          </w:p>
        </w:tc>
        <w:tc>
          <w:tcPr>
            <w:tcW w:w="9884" w:type="dxa"/>
            <w:shd w:val="clear" w:color="auto" w:fill="FFFFFF"/>
            <w:tcMar>
              <w:top w:w="45" w:type="dxa"/>
              <w:left w:w="0" w:type="dxa"/>
              <w:bottom w:w="45" w:type="dxa"/>
              <w:right w:w="0" w:type="dxa"/>
            </w:tcMar>
            <w:vAlign w:val="center"/>
            <w:hideMark/>
          </w:tcPr>
          <w:p w14:paraId="272D27B8" w14:textId="77777777" w:rsidR="0005622C" w:rsidRPr="0005622C" w:rsidRDefault="0005622C" w:rsidP="0005622C">
            <w:pPr>
              <w:widowControl/>
              <w:jc w:val="left"/>
              <w:rPr>
                <w:rFonts w:ascii="ＭＳ Ｐゴシック" w:eastAsia="ＭＳ Ｐゴシック" w:hAnsi="ＭＳ Ｐゴシック" w:cs="ＭＳ Ｐゴシック"/>
                <w:color w:val="990000"/>
                <w:kern w:val="0"/>
                <w:sz w:val="28"/>
                <w:szCs w:val="28"/>
              </w:rPr>
            </w:pPr>
            <w:r w:rsidRPr="0005622C">
              <w:rPr>
                <w:rFonts w:ascii="ＭＳ Ｐゴシック" w:eastAsia="ＭＳ Ｐゴシック" w:hAnsi="ＭＳ Ｐゴシック" w:cs="ＭＳ Ｐゴシック" w:hint="eastAsia"/>
                <w:color w:val="990000"/>
                <w:kern w:val="0"/>
                <w:sz w:val="28"/>
                <w:szCs w:val="28"/>
              </w:rPr>
              <w:t>標準的な問題を数多く解き、基本的な力をつけること。</w:t>
            </w:r>
          </w:p>
        </w:tc>
      </w:tr>
      <w:tr w:rsidR="0005622C" w:rsidRPr="0005622C" w14:paraId="47031A9C" w14:textId="77777777" w:rsidTr="0005622C">
        <w:trPr>
          <w:trHeight w:val="386"/>
          <w:tblCellSpacing w:w="0" w:type="dxa"/>
        </w:trPr>
        <w:tc>
          <w:tcPr>
            <w:tcW w:w="325" w:type="dxa"/>
            <w:shd w:val="clear" w:color="auto" w:fill="FFFFFF"/>
            <w:tcMar>
              <w:top w:w="45" w:type="dxa"/>
              <w:left w:w="0" w:type="dxa"/>
              <w:bottom w:w="45" w:type="dxa"/>
              <w:right w:w="0" w:type="dxa"/>
            </w:tcMar>
            <w:hideMark/>
          </w:tcPr>
          <w:p w14:paraId="29427014" w14:textId="77777777" w:rsidR="0005622C" w:rsidRPr="0005622C" w:rsidRDefault="0005622C" w:rsidP="0005622C">
            <w:pPr>
              <w:widowControl/>
              <w:jc w:val="center"/>
              <w:rPr>
                <w:rFonts w:ascii="ＭＳ Ｐゴシック" w:eastAsia="ＭＳ Ｐゴシック" w:hAnsi="ＭＳ Ｐゴシック" w:cs="ＭＳ Ｐゴシック"/>
                <w:color w:val="990000"/>
                <w:kern w:val="0"/>
                <w:sz w:val="28"/>
                <w:szCs w:val="28"/>
              </w:rPr>
            </w:pPr>
            <w:r w:rsidRPr="0005622C">
              <w:rPr>
                <w:rFonts w:ascii="ＭＳ Ｐゴシック" w:eastAsia="ＭＳ Ｐゴシック" w:hAnsi="ＭＳ Ｐゴシック" w:cs="ＭＳ Ｐゴシック" w:hint="eastAsia"/>
                <w:color w:val="990000"/>
                <w:kern w:val="0"/>
                <w:sz w:val="28"/>
                <w:szCs w:val="28"/>
              </w:rPr>
              <w:t>・</w:t>
            </w:r>
          </w:p>
        </w:tc>
        <w:tc>
          <w:tcPr>
            <w:tcW w:w="9884" w:type="dxa"/>
            <w:shd w:val="clear" w:color="auto" w:fill="FFFFFF"/>
            <w:tcMar>
              <w:top w:w="45" w:type="dxa"/>
              <w:left w:w="0" w:type="dxa"/>
              <w:bottom w:w="45" w:type="dxa"/>
              <w:right w:w="0" w:type="dxa"/>
            </w:tcMar>
            <w:vAlign w:val="center"/>
            <w:hideMark/>
          </w:tcPr>
          <w:p w14:paraId="5174F615" w14:textId="77777777" w:rsidR="0005622C" w:rsidRPr="003D64D6" w:rsidRDefault="0005622C" w:rsidP="0005622C">
            <w:pPr>
              <w:widowControl/>
              <w:jc w:val="left"/>
              <w:rPr>
                <w:rFonts w:ascii="ＭＳ Ｐゴシック" w:eastAsia="ＭＳ Ｐゴシック" w:hAnsi="ＭＳ Ｐゴシック" w:cs="ＭＳ Ｐゴシック"/>
                <w:color w:val="990000"/>
                <w:kern w:val="0"/>
                <w:sz w:val="28"/>
                <w:szCs w:val="28"/>
              </w:rPr>
            </w:pPr>
            <w:r w:rsidRPr="0005622C">
              <w:rPr>
                <w:rFonts w:ascii="ＭＳ Ｐゴシック" w:eastAsia="ＭＳ Ｐゴシック" w:hAnsi="ＭＳ Ｐゴシック" w:cs="ＭＳ Ｐゴシック" w:hint="eastAsia"/>
                <w:color w:val="990000"/>
                <w:kern w:val="0"/>
                <w:sz w:val="28"/>
                <w:szCs w:val="28"/>
              </w:rPr>
              <w:t>文章題を解くときは、単に答を書くだけでなく途中の計算を書き残すなど、</w:t>
            </w:r>
          </w:p>
          <w:p w14:paraId="74D26895" w14:textId="74D6046E" w:rsidR="0005622C" w:rsidRPr="0005622C" w:rsidRDefault="0005622C" w:rsidP="0005622C">
            <w:pPr>
              <w:widowControl/>
              <w:jc w:val="left"/>
              <w:rPr>
                <w:rFonts w:ascii="ＭＳ Ｐゴシック" w:eastAsia="ＭＳ Ｐゴシック" w:hAnsi="ＭＳ Ｐゴシック" w:cs="ＭＳ Ｐゴシック"/>
                <w:color w:val="990000"/>
                <w:kern w:val="0"/>
                <w:sz w:val="28"/>
                <w:szCs w:val="28"/>
              </w:rPr>
            </w:pPr>
            <w:r w:rsidRPr="0005622C">
              <w:rPr>
                <w:rFonts w:ascii="ＭＳ Ｐゴシック" w:eastAsia="ＭＳ Ｐゴシック" w:hAnsi="ＭＳ Ｐゴシック" w:cs="ＭＳ Ｐゴシック" w:hint="eastAsia"/>
                <w:color w:val="990000"/>
                <w:kern w:val="0"/>
                <w:sz w:val="28"/>
                <w:szCs w:val="28"/>
              </w:rPr>
              <w:t>解き方の筋道が辿れるように解答を書く習慣をつけること。</w:t>
            </w:r>
          </w:p>
        </w:tc>
      </w:tr>
      <w:tr w:rsidR="0005622C" w:rsidRPr="0005622C" w14:paraId="3192FC99" w14:textId="77777777" w:rsidTr="0005622C">
        <w:trPr>
          <w:trHeight w:val="386"/>
          <w:tblCellSpacing w:w="0" w:type="dxa"/>
        </w:trPr>
        <w:tc>
          <w:tcPr>
            <w:tcW w:w="325" w:type="dxa"/>
            <w:shd w:val="clear" w:color="auto" w:fill="FFFFFF"/>
            <w:tcMar>
              <w:top w:w="45" w:type="dxa"/>
              <w:left w:w="0" w:type="dxa"/>
              <w:bottom w:w="45" w:type="dxa"/>
              <w:right w:w="0" w:type="dxa"/>
            </w:tcMar>
            <w:hideMark/>
          </w:tcPr>
          <w:p w14:paraId="5D209D86" w14:textId="77777777" w:rsidR="0005622C" w:rsidRPr="0005622C" w:rsidRDefault="0005622C" w:rsidP="0005622C">
            <w:pPr>
              <w:widowControl/>
              <w:jc w:val="center"/>
              <w:rPr>
                <w:rFonts w:ascii="ＭＳ Ｐゴシック" w:eastAsia="ＭＳ Ｐゴシック" w:hAnsi="ＭＳ Ｐゴシック" w:cs="ＭＳ Ｐゴシック"/>
                <w:color w:val="990000"/>
                <w:kern w:val="0"/>
                <w:sz w:val="28"/>
                <w:szCs w:val="28"/>
              </w:rPr>
            </w:pPr>
            <w:r w:rsidRPr="0005622C">
              <w:rPr>
                <w:rFonts w:ascii="ＭＳ Ｐゴシック" w:eastAsia="ＭＳ Ｐゴシック" w:hAnsi="ＭＳ Ｐゴシック" w:cs="ＭＳ Ｐゴシック" w:hint="eastAsia"/>
                <w:color w:val="990000"/>
                <w:kern w:val="0"/>
                <w:sz w:val="28"/>
                <w:szCs w:val="28"/>
              </w:rPr>
              <w:t>・</w:t>
            </w:r>
          </w:p>
        </w:tc>
        <w:tc>
          <w:tcPr>
            <w:tcW w:w="9884" w:type="dxa"/>
            <w:shd w:val="clear" w:color="auto" w:fill="FFFFFF"/>
            <w:tcMar>
              <w:top w:w="45" w:type="dxa"/>
              <w:left w:w="0" w:type="dxa"/>
              <w:bottom w:w="45" w:type="dxa"/>
              <w:right w:w="0" w:type="dxa"/>
            </w:tcMar>
            <w:vAlign w:val="center"/>
            <w:hideMark/>
          </w:tcPr>
          <w:p w14:paraId="47480920" w14:textId="77777777" w:rsidR="0005622C" w:rsidRPr="0005622C" w:rsidRDefault="0005622C" w:rsidP="0005622C">
            <w:pPr>
              <w:widowControl/>
              <w:jc w:val="left"/>
              <w:rPr>
                <w:rFonts w:ascii="ＭＳ Ｐゴシック" w:eastAsia="ＭＳ Ｐゴシック" w:hAnsi="ＭＳ Ｐゴシック" w:cs="ＭＳ Ｐゴシック"/>
                <w:color w:val="990000"/>
                <w:kern w:val="0"/>
                <w:sz w:val="28"/>
                <w:szCs w:val="28"/>
              </w:rPr>
            </w:pPr>
            <w:r w:rsidRPr="0005622C">
              <w:rPr>
                <w:rFonts w:ascii="ＭＳ Ｐゴシック" w:eastAsia="ＭＳ Ｐゴシック" w:hAnsi="ＭＳ Ｐゴシック" w:cs="ＭＳ Ｐゴシック" w:hint="eastAsia"/>
                <w:color w:val="990000"/>
                <w:kern w:val="0"/>
                <w:sz w:val="28"/>
                <w:szCs w:val="28"/>
              </w:rPr>
              <w:t>別の解き方を考えてみること。</w:t>
            </w:r>
          </w:p>
        </w:tc>
      </w:tr>
      <w:tr w:rsidR="0005622C" w:rsidRPr="0005622C" w14:paraId="07719913" w14:textId="77777777" w:rsidTr="0005622C">
        <w:trPr>
          <w:trHeight w:val="386"/>
          <w:tblCellSpacing w:w="0" w:type="dxa"/>
        </w:trPr>
        <w:tc>
          <w:tcPr>
            <w:tcW w:w="325" w:type="dxa"/>
            <w:shd w:val="clear" w:color="auto" w:fill="FFFFFF"/>
            <w:tcMar>
              <w:top w:w="45" w:type="dxa"/>
              <w:left w:w="0" w:type="dxa"/>
              <w:bottom w:w="45" w:type="dxa"/>
              <w:right w:w="0" w:type="dxa"/>
            </w:tcMar>
            <w:hideMark/>
          </w:tcPr>
          <w:p w14:paraId="6EF1499A" w14:textId="77777777" w:rsidR="0005622C" w:rsidRPr="0005622C" w:rsidRDefault="0005622C" w:rsidP="0005622C">
            <w:pPr>
              <w:widowControl/>
              <w:jc w:val="center"/>
              <w:rPr>
                <w:rFonts w:ascii="ＭＳ Ｐゴシック" w:eastAsia="ＭＳ Ｐゴシック" w:hAnsi="ＭＳ Ｐゴシック" w:cs="ＭＳ Ｐゴシック"/>
                <w:color w:val="990000"/>
                <w:kern w:val="0"/>
                <w:sz w:val="28"/>
                <w:szCs w:val="28"/>
              </w:rPr>
            </w:pPr>
            <w:r w:rsidRPr="0005622C">
              <w:rPr>
                <w:rFonts w:ascii="ＭＳ Ｐゴシック" w:eastAsia="ＭＳ Ｐゴシック" w:hAnsi="ＭＳ Ｐゴシック" w:cs="ＭＳ Ｐゴシック" w:hint="eastAsia"/>
                <w:color w:val="990000"/>
                <w:kern w:val="0"/>
                <w:sz w:val="28"/>
                <w:szCs w:val="28"/>
              </w:rPr>
              <w:t>・</w:t>
            </w:r>
          </w:p>
        </w:tc>
        <w:tc>
          <w:tcPr>
            <w:tcW w:w="9884" w:type="dxa"/>
            <w:shd w:val="clear" w:color="auto" w:fill="FFFFFF"/>
            <w:tcMar>
              <w:top w:w="45" w:type="dxa"/>
              <w:left w:w="0" w:type="dxa"/>
              <w:bottom w:w="45" w:type="dxa"/>
              <w:right w:w="0" w:type="dxa"/>
            </w:tcMar>
            <w:vAlign w:val="center"/>
            <w:hideMark/>
          </w:tcPr>
          <w:p w14:paraId="39A198D9" w14:textId="77777777" w:rsidR="0005622C" w:rsidRPr="0005622C" w:rsidRDefault="0005622C" w:rsidP="0005622C">
            <w:pPr>
              <w:widowControl/>
              <w:jc w:val="left"/>
              <w:rPr>
                <w:rFonts w:ascii="ＭＳ Ｐゴシック" w:eastAsia="ＭＳ Ｐゴシック" w:hAnsi="ＭＳ Ｐゴシック" w:cs="ＭＳ Ｐゴシック"/>
                <w:color w:val="990000"/>
                <w:kern w:val="0"/>
                <w:sz w:val="28"/>
                <w:szCs w:val="28"/>
              </w:rPr>
            </w:pPr>
            <w:r w:rsidRPr="0005622C">
              <w:rPr>
                <w:rFonts w:ascii="ＭＳ Ｐゴシック" w:eastAsia="ＭＳ Ｐゴシック" w:hAnsi="ＭＳ Ｐゴシック" w:cs="ＭＳ Ｐゴシック" w:hint="eastAsia"/>
                <w:color w:val="990000"/>
                <w:kern w:val="0"/>
                <w:sz w:val="28"/>
                <w:szCs w:val="28"/>
              </w:rPr>
              <w:t>面白そうな問題については、自分なりに条件を変えて解いてみること。</w:t>
            </w:r>
          </w:p>
        </w:tc>
      </w:tr>
    </w:tbl>
    <w:p w14:paraId="6F91E26E" w14:textId="0F1162DE" w:rsidR="0005622C" w:rsidRPr="003D64D6" w:rsidRDefault="0005622C">
      <w:pPr>
        <w:rPr>
          <w:sz w:val="28"/>
          <w:szCs w:val="28"/>
        </w:rPr>
      </w:pPr>
    </w:p>
    <w:p w14:paraId="290A8CF5" w14:textId="14CE5039" w:rsidR="0005622C" w:rsidRDefault="0005622C"/>
    <w:p w14:paraId="49E85D8B" w14:textId="7259783B" w:rsidR="0005622C" w:rsidRDefault="0005622C"/>
    <w:p w14:paraId="6D666E5C" w14:textId="0DA4B43D" w:rsidR="0005622C" w:rsidRDefault="0005622C"/>
    <w:p w14:paraId="02A34289" w14:textId="4C3C21FD" w:rsidR="0005622C" w:rsidRDefault="0005622C"/>
    <w:p w14:paraId="39F0C4CC" w14:textId="64BAA770" w:rsidR="0005622C" w:rsidRDefault="0005622C"/>
    <w:p w14:paraId="2637FB4B" w14:textId="59AA0C04" w:rsidR="0005622C" w:rsidRPr="003D64D6" w:rsidRDefault="0005622C">
      <w:pPr>
        <w:rPr>
          <w:sz w:val="72"/>
          <w:szCs w:val="72"/>
        </w:rPr>
      </w:pPr>
      <w:r w:rsidRPr="003D64D6">
        <w:rPr>
          <w:rFonts w:hint="eastAsia"/>
          <w:sz w:val="72"/>
          <w:szCs w:val="72"/>
        </w:rPr>
        <w:t>傾向</w:t>
      </w:r>
    </w:p>
    <w:p w14:paraId="6B9BD5E2" w14:textId="5D77D468" w:rsidR="0005622C" w:rsidRPr="003D64D6" w:rsidRDefault="0005622C">
      <w:pPr>
        <w:rPr>
          <w:sz w:val="40"/>
          <w:szCs w:val="40"/>
        </w:rPr>
      </w:pPr>
      <w:r w:rsidRPr="003D64D6">
        <w:rPr>
          <w:rFonts w:hint="eastAsia"/>
          <w:sz w:val="40"/>
          <w:szCs w:val="40"/>
        </w:rPr>
        <w:t>６０分</w:t>
      </w:r>
    </w:p>
    <w:p w14:paraId="51FB8C99" w14:textId="50384FC2" w:rsidR="0005622C" w:rsidRPr="003D64D6" w:rsidRDefault="0005622C">
      <w:pPr>
        <w:rPr>
          <w:sz w:val="40"/>
          <w:szCs w:val="40"/>
        </w:rPr>
      </w:pPr>
      <w:r w:rsidRPr="003D64D6">
        <w:rPr>
          <w:rFonts w:hint="eastAsia"/>
          <w:sz w:val="40"/>
          <w:szCs w:val="40"/>
        </w:rPr>
        <w:t>１００点満点</w:t>
      </w:r>
    </w:p>
    <w:p w14:paraId="1B58A7C9" w14:textId="628E56A2" w:rsidR="0005622C" w:rsidRPr="003D64D6" w:rsidRDefault="0005622C">
      <w:pPr>
        <w:rPr>
          <w:sz w:val="40"/>
          <w:szCs w:val="40"/>
        </w:rPr>
      </w:pPr>
      <w:r w:rsidRPr="003D64D6">
        <w:rPr>
          <w:rFonts w:hint="eastAsia"/>
          <w:sz w:val="40"/>
          <w:szCs w:val="40"/>
        </w:rPr>
        <w:t>答案用紙</w:t>
      </w:r>
    </w:p>
    <w:p w14:paraId="010BB5B8" w14:textId="6E2B98D0" w:rsidR="0005622C" w:rsidRPr="003D64D6" w:rsidRDefault="0005622C">
      <w:pPr>
        <w:rPr>
          <w:sz w:val="40"/>
          <w:szCs w:val="40"/>
        </w:rPr>
      </w:pPr>
      <w:r w:rsidRPr="003D64D6">
        <w:rPr>
          <w:rFonts w:hint="eastAsia"/>
          <w:sz w:val="40"/>
          <w:szCs w:val="40"/>
        </w:rPr>
        <w:t>難度は高いが</w:t>
      </w:r>
    </w:p>
    <w:p w14:paraId="635E1449" w14:textId="792E81D1" w:rsidR="0005622C" w:rsidRPr="003D64D6" w:rsidRDefault="0005622C">
      <w:pPr>
        <w:rPr>
          <w:sz w:val="72"/>
          <w:szCs w:val="72"/>
        </w:rPr>
      </w:pPr>
      <w:r w:rsidRPr="003D64D6">
        <w:rPr>
          <w:rFonts w:hint="eastAsia"/>
          <w:sz w:val="72"/>
          <w:szCs w:val="72"/>
        </w:rPr>
        <w:lastRenderedPageBreak/>
        <w:t>単元別</w:t>
      </w:r>
      <w:r w:rsidR="003D64D6">
        <w:rPr>
          <w:rFonts w:hint="eastAsia"/>
          <w:sz w:val="72"/>
          <w:szCs w:val="72"/>
        </w:rPr>
        <w:t xml:space="preserve"> トライアルの出題</w:t>
      </w:r>
    </w:p>
    <w:p w14:paraId="663361CF" w14:textId="4894E871" w:rsidR="0005622C" w:rsidRPr="003D64D6" w:rsidRDefault="0005622C">
      <w:pPr>
        <w:rPr>
          <w:sz w:val="40"/>
          <w:szCs w:val="40"/>
        </w:rPr>
      </w:pPr>
      <w:r w:rsidRPr="003D64D6">
        <w:rPr>
          <w:rFonts w:hint="eastAsia"/>
          <w:sz w:val="40"/>
          <w:szCs w:val="40"/>
        </w:rPr>
        <w:t>計算</w:t>
      </w:r>
    </w:p>
    <w:p w14:paraId="13A60FB2" w14:textId="6F2010AB" w:rsidR="0005622C" w:rsidRPr="003D64D6" w:rsidRDefault="0005622C">
      <w:pPr>
        <w:rPr>
          <w:sz w:val="40"/>
          <w:szCs w:val="40"/>
        </w:rPr>
      </w:pPr>
      <w:r w:rsidRPr="003D64D6">
        <w:rPr>
          <w:rFonts w:hint="eastAsia"/>
          <w:sz w:val="40"/>
          <w:szCs w:val="40"/>
        </w:rPr>
        <w:t>平面図形</w:t>
      </w:r>
    </w:p>
    <w:p w14:paraId="3C2C610A" w14:textId="6C067BAE" w:rsidR="0005622C" w:rsidRPr="003D64D6" w:rsidRDefault="0005622C">
      <w:pPr>
        <w:rPr>
          <w:sz w:val="40"/>
          <w:szCs w:val="40"/>
        </w:rPr>
      </w:pPr>
      <w:r w:rsidRPr="003D64D6">
        <w:rPr>
          <w:rFonts w:hint="eastAsia"/>
          <w:sz w:val="40"/>
          <w:szCs w:val="40"/>
        </w:rPr>
        <w:t>立体図形</w:t>
      </w:r>
    </w:p>
    <w:p w14:paraId="4FC3ACE8" w14:textId="306945F8" w:rsidR="0005622C" w:rsidRPr="003D64D6" w:rsidRDefault="0005622C">
      <w:pPr>
        <w:rPr>
          <w:sz w:val="40"/>
          <w:szCs w:val="40"/>
        </w:rPr>
      </w:pPr>
      <w:r w:rsidRPr="003D64D6">
        <w:rPr>
          <w:rFonts w:hint="eastAsia"/>
          <w:sz w:val="40"/>
          <w:szCs w:val="40"/>
        </w:rPr>
        <w:t>数</w:t>
      </w:r>
    </w:p>
    <w:p w14:paraId="0156F6C7" w14:textId="16270A16" w:rsidR="0005622C" w:rsidRPr="003D64D6" w:rsidRDefault="0005622C">
      <w:pPr>
        <w:rPr>
          <w:sz w:val="40"/>
          <w:szCs w:val="40"/>
        </w:rPr>
      </w:pPr>
      <w:r w:rsidRPr="003D64D6">
        <w:rPr>
          <w:rFonts w:hint="eastAsia"/>
          <w:sz w:val="40"/>
          <w:szCs w:val="40"/>
        </w:rPr>
        <w:t>記述</w:t>
      </w:r>
    </w:p>
    <w:p w14:paraId="0CD251DB" w14:textId="64AD4E43" w:rsidR="0005622C" w:rsidRPr="003D64D6" w:rsidRDefault="0005622C">
      <w:pPr>
        <w:rPr>
          <w:sz w:val="72"/>
          <w:szCs w:val="72"/>
        </w:rPr>
      </w:pPr>
      <w:r w:rsidRPr="003D64D6">
        <w:rPr>
          <w:rFonts w:hint="eastAsia"/>
          <w:sz w:val="72"/>
          <w:szCs w:val="72"/>
        </w:rPr>
        <w:t>今後の学習</w:t>
      </w:r>
    </w:p>
    <w:p w14:paraId="2AE1C38B" w14:textId="23083EE7" w:rsidR="0005622C" w:rsidRPr="003D64D6" w:rsidRDefault="0005622C">
      <w:pPr>
        <w:rPr>
          <w:sz w:val="40"/>
          <w:szCs w:val="40"/>
        </w:rPr>
      </w:pPr>
      <w:r w:rsidRPr="003D64D6">
        <w:rPr>
          <w:rFonts w:hint="eastAsia"/>
          <w:sz w:val="40"/>
          <w:szCs w:val="40"/>
        </w:rPr>
        <w:t>基礎力の徹底</w:t>
      </w:r>
    </w:p>
    <w:p w14:paraId="0E61DE71" w14:textId="04D9754B" w:rsidR="0005622C" w:rsidRPr="003D64D6" w:rsidRDefault="0005622C">
      <w:pPr>
        <w:rPr>
          <w:sz w:val="40"/>
          <w:szCs w:val="40"/>
        </w:rPr>
      </w:pPr>
      <w:r w:rsidRPr="003D64D6">
        <w:rPr>
          <w:rFonts w:hint="eastAsia"/>
          <w:sz w:val="40"/>
          <w:szCs w:val="40"/>
        </w:rPr>
        <w:t>過去問ふりかえりの徹底</w:t>
      </w:r>
    </w:p>
    <w:p w14:paraId="7CF2082D" w14:textId="7CB7224A" w:rsidR="0005622C" w:rsidRPr="003D64D6" w:rsidRDefault="0005622C">
      <w:pPr>
        <w:rPr>
          <w:sz w:val="40"/>
          <w:szCs w:val="40"/>
        </w:rPr>
      </w:pPr>
      <w:r w:rsidRPr="003D64D6">
        <w:rPr>
          <w:rFonts w:hint="eastAsia"/>
          <w:sz w:val="40"/>
          <w:szCs w:val="40"/>
        </w:rPr>
        <w:t>実戦的な練習</w:t>
      </w:r>
    </w:p>
    <w:sectPr w:rsidR="0005622C" w:rsidRPr="003D64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E6"/>
    <w:rsid w:val="0005622C"/>
    <w:rsid w:val="00193437"/>
    <w:rsid w:val="001A367C"/>
    <w:rsid w:val="002B6509"/>
    <w:rsid w:val="002F3483"/>
    <w:rsid w:val="003D64D6"/>
    <w:rsid w:val="00520BF4"/>
    <w:rsid w:val="008B4BBA"/>
    <w:rsid w:val="0099355F"/>
    <w:rsid w:val="00AF60CE"/>
    <w:rsid w:val="00B26450"/>
    <w:rsid w:val="00B4787B"/>
    <w:rsid w:val="00BF31C1"/>
    <w:rsid w:val="00C5039B"/>
    <w:rsid w:val="00CA25A5"/>
    <w:rsid w:val="00D03FE6"/>
    <w:rsid w:val="00D63B5A"/>
    <w:rsid w:val="00E9784A"/>
    <w:rsid w:val="00EB438C"/>
    <w:rsid w:val="00F951F3"/>
    <w:rsid w:val="00FB13AE"/>
    <w:rsid w:val="00FE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3C85D"/>
  <w15:chartTrackingRefBased/>
  <w15:docId w15:val="{7264C3C9-57EB-4354-BEF2-5D9D181B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井藤 圭祐</dc:creator>
  <cp:keywords/>
  <dc:description/>
  <cp:lastModifiedBy>井藤 圭祐</cp:lastModifiedBy>
  <cp:revision>4</cp:revision>
  <dcterms:created xsi:type="dcterms:W3CDTF">2022-11-22T22:03:00Z</dcterms:created>
  <dcterms:modified xsi:type="dcterms:W3CDTF">2023-04-05T04:47:00Z</dcterms:modified>
</cp:coreProperties>
</file>